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E2C" w:rsidRDefault="002E7E2C" w:rsidP="002E7E2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сельсовета </w:t>
      </w:r>
    </w:p>
    <w:p w:rsidR="002E7E2C" w:rsidRDefault="002E7E2C" w:rsidP="002E7E2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района Новосибирской области</w:t>
      </w:r>
    </w:p>
    <w:p w:rsidR="002E7E2C" w:rsidRDefault="002E7E2C" w:rsidP="002E7E2C">
      <w:pPr>
        <w:tabs>
          <w:tab w:val="left" w:pos="1978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16.11.2022                             ПОСТАНОВЛЕНИЕ</w:t>
      </w:r>
      <w:r w:rsidR="00FB089B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№58</w:t>
      </w:r>
    </w:p>
    <w:p w:rsidR="002E7E2C" w:rsidRDefault="002E7E2C" w:rsidP="002E7E2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с.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             </w:t>
      </w:r>
    </w:p>
    <w:p w:rsidR="002E7E2C" w:rsidRDefault="00CA2D6F" w:rsidP="002E7E2C">
      <w:pPr>
        <w:keepNext/>
        <w:spacing w:after="0" w:line="240" w:lineRule="auto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  <w:lang w:eastAsia="ru-RU"/>
        </w:rPr>
      </w:pPr>
      <w:hyperlink r:id="rId5" w:history="1">
        <w:r w:rsidR="002E7E2C">
          <w:rPr>
            <w:rFonts w:ascii="Arial" w:eastAsia="Times New Roman" w:hAnsi="Arial" w:cs="Arial"/>
            <w:b/>
            <w:kern w:val="32"/>
            <w:sz w:val="24"/>
            <w:szCs w:val="24"/>
            <w:lang w:eastAsia="ru-RU"/>
          </w:rPr>
          <w:br/>
        </w:r>
        <w:r w:rsidR="002E7E2C">
          <w:rPr>
            <w:rStyle w:val="a3"/>
            <w:rFonts w:ascii="Arial" w:eastAsia="Times New Roman" w:hAnsi="Arial" w:cs="Arial"/>
            <w:b/>
            <w:color w:val="auto"/>
            <w:kern w:val="32"/>
            <w:sz w:val="24"/>
            <w:szCs w:val="24"/>
            <w:u w:val="none"/>
            <w:lang w:eastAsia="ru-RU"/>
          </w:rPr>
          <w:t xml:space="preserve">О прогнозе социально-экономического развития </w:t>
        </w:r>
        <w:proofErr w:type="spellStart"/>
        <w:r w:rsidR="002E7E2C">
          <w:rPr>
            <w:rStyle w:val="a3"/>
            <w:rFonts w:ascii="Arial" w:eastAsia="Times New Roman" w:hAnsi="Arial" w:cs="Arial"/>
            <w:b/>
            <w:color w:val="auto"/>
            <w:kern w:val="32"/>
            <w:sz w:val="24"/>
            <w:szCs w:val="24"/>
            <w:u w:val="none"/>
            <w:lang w:eastAsia="ru-RU"/>
          </w:rPr>
          <w:t>Карганского</w:t>
        </w:r>
        <w:proofErr w:type="spellEnd"/>
        <w:r w:rsidR="002E7E2C">
          <w:rPr>
            <w:rStyle w:val="a3"/>
            <w:rFonts w:ascii="Arial" w:eastAsia="Times New Roman" w:hAnsi="Arial" w:cs="Arial"/>
            <w:b/>
            <w:color w:val="auto"/>
            <w:kern w:val="32"/>
            <w:sz w:val="24"/>
            <w:szCs w:val="24"/>
            <w:u w:val="none"/>
            <w:lang w:eastAsia="ru-RU"/>
          </w:rPr>
          <w:t xml:space="preserve"> сельсовета </w:t>
        </w:r>
        <w:proofErr w:type="spellStart"/>
        <w:r w:rsidR="002E7E2C">
          <w:rPr>
            <w:rStyle w:val="a3"/>
            <w:rFonts w:ascii="Arial" w:eastAsia="Times New Roman" w:hAnsi="Arial" w:cs="Arial"/>
            <w:b/>
            <w:color w:val="auto"/>
            <w:kern w:val="32"/>
            <w:sz w:val="24"/>
            <w:szCs w:val="24"/>
            <w:u w:val="none"/>
            <w:lang w:eastAsia="ru-RU"/>
          </w:rPr>
          <w:t>Каргатского</w:t>
        </w:r>
        <w:proofErr w:type="spellEnd"/>
        <w:r w:rsidR="002E7E2C">
          <w:rPr>
            <w:rStyle w:val="a3"/>
            <w:rFonts w:ascii="Arial" w:eastAsia="Times New Roman" w:hAnsi="Arial" w:cs="Arial"/>
            <w:b/>
            <w:color w:val="auto"/>
            <w:kern w:val="32"/>
            <w:sz w:val="24"/>
            <w:szCs w:val="24"/>
            <w:u w:val="none"/>
            <w:lang w:eastAsia="ru-RU"/>
          </w:rPr>
          <w:t xml:space="preserve"> района Новосибирской области  на 2023год и плановый период 2024 и 2025 годов</w:t>
        </w:r>
      </w:hyperlink>
    </w:p>
    <w:p w:rsidR="002E7E2C" w:rsidRDefault="002E7E2C" w:rsidP="002E7E2C">
      <w:pPr>
        <w:spacing w:after="0"/>
        <w:ind w:firstLine="567"/>
        <w:rPr>
          <w:rFonts w:ascii="Arial" w:eastAsia="Times New Roman" w:hAnsi="Arial" w:cs="Arial"/>
          <w:sz w:val="24"/>
          <w:szCs w:val="24"/>
          <w:lang w:eastAsia="ru-RU"/>
        </w:rPr>
      </w:pPr>
    </w:p>
    <w:p w:rsidR="002E7E2C" w:rsidRDefault="002E7E2C" w:rsidP="002E7E2C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со </w:t>
      </w:r>
      <w:hyperlink r:id="rId6" w:history="1">
        <w:r>
          <w:rPr>
            <w:rStyle w:val="a3"/>
            <w:rFonts w:ascii="Arial" w:eastAsia="Times New Roman" w:hAnsi="Arial" w:cs="Arial"/>
            <w:color w:val="auto"/>
            <w:sz w:val="24"/>
            <w:szCs w:val="24"/>
            <w:u w:val="none"/>
            <w:lang w:eastAsia="ru-RU"/>
          </w:rPr>
          <w:t>статьей 173</w:t>
        </w:r>
      </w:hyperlink>
      <w:r>
        <w:rPr>
          <w:rFonts w:ascii="Arial" w:eastAsia="Times New Roman" w:hAnsi="Arial" w:cs="Arial"/>
          <w:sz w:val="24"/>
          <w:szCs w:val="24"/>
          <w:lang w:eastAsia="ru-RU"/>
        </w:rPr>
        <w:t xml:space="preserve"> Бюджетного кодекса Российской Федерации, </w:t>
      </w:r>
      <w:hyperlink r:id="rId7" w:history="1">
        <w:r>
          <w:rPr>
            <w:rStyle w:val="a3"/>
            <w:rFonts w:ascii="Arial" w:eastAsia="Times New Roman" w:hAnsi="Arial" w:cs="Arial"/>
            <w:color w:val="auto"/>
            <w:sz w:val="24"/>
            <w:szCs w:val="24"/>
            <w:u w:val="none"/>
            <w:lang w:eastAsia="ru-RU"/>
          </w:rPr>
          <w:t>Законом</w:t>
        </w:r>
      </w:hyperlink>
      <w:r>
        <w:rPr>
          <w:rFonts w:ascii="Arial" w:eastAsia="Times New Roman" w:hAnsi="Arial" w:cs="Arial"/>
          <w:sz w:val="24"/>
          <w:szCs w:val="24"/>
          <w:lang w:eastAsia="ru-RU"/>
        </w:rPr>
        <w:t xml:space="preserve"> Новосибирской области от 18.12.2015 № 24-ОЗ «О планировании социально-экономического развития Новосибирской области», руководствуясь </w:t>
      </w:r>
      <w:r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 xml:space="preserve">Прогнозом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>социально-экономического развития Новосибирской области на 2023 год и плановый период 2024 и 20245годов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,  администрация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</w:t>
      </w:r>
    </w:p>
    <w:p w:rsidR="002E7E2C" w:rsidRDefault="002E7E2C" w:rsidP="002E7E2C">
      <w:pPr>
        <w:spacing w:after="0"/>
        <w:ind w:firstLine="567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ПОСТАНОВЛЯЕТ:</w:t>
      </w:r>
    </w:p>
    <w:p w:rsidR="002E7E2C" w:rsidRDefault="002E7E2C" w:rsidP="002E7E2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1.Одобрить прилагаемый </w:t>
      </w:r>
      <w:hyperlink r:id="rId8" w:anchor="sub_1000" w:history="1">
        <w:r>
          <w:rPr>
            <w:rStyle w:val="a3"/>
            <w:rFonts w:ascii="Arial" w:eastAsia="Times New Roman" w:hAnsi="Arial" w:cs="Arial"/>
            <w:color w:val="auto"/>
            <w:sz w:val="24"/>
            <w:szCs w:val="24"/>
            <w:u w:val="none"/>
            <w:lang w:eastAsia="ru-RU"/>
          </w:rPr>
          <w:t>прогноз</w:t>
        </w:r>
      </w:hyperlink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социально-экономического развития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на 2023 год и плановый период 2024 и 2025 годов (далее - прогноз социально-экономического развития).</w:t>
      </w:r>
    </w:p>
    <w:p w:rsidR="002E7E2C" w:rsidRDefault="002E7E2C" w:rsidP="002E7E2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2Опубликовать настоящее постановление в периодическом печатном издании «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Карганский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Вестник»  и на официальном сайте администрации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области.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3.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исполнением настоящего Постановления                       возложить на заместителя главы администрации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Орехову С.Н.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                                            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 района Новосибирской области                     А.В.       Трипузов</w:t>
      </w:r>
    </w:p>
    <w:p w:rsidR="002E7E2C" w:rsidRDefault="002E7E2C" w:rsidP="002E7E2C">
      <w:pPr>
        <w:spacing w:after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2E7E2C" w:rsidRDefault="002E7E2C" w:rsidP="002E7E2C">
      <w:pPr>
        <w:rPr>
          <w:rFonts w:ascii="Arial" w:eastAsia="Times New Roman" w:hAnsi="Arial" w:cs="Arial"/>
          <w:sz w:val="24"/>
          <w:szCs w:val="24"/>
          <w:lang w:eastAsia="ru-RU"/>
        </w:rPr>
      </w:pP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Орехова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46-384</w:t>
      </w:r>
    </w:p>
    <w:p w:rsidR="002E7E2C" w:rsidRDefault="002E7E2C" w:rsidP="002E7E2C">
      <w:pPr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                                                                 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                                    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                                                          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lastRenderedPageBreak/>
        <w:t>ПРОГНОЗ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СОЦИАЛЬНО – ЭКОНОМИЧЕСКОГО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РАЗВИТИЯ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КАРГАНСКОГО СЕЛЬСОВЕТА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КАРГАТСКОГО РАЙОНА 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НОВОСИБИРСКОЙ ОБЛАСТИ НА 2022 ГОД 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И ПЛАНОВЫЙ ПЕРИОД 2023 -2024 гг.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tbl>
      <w:tblPr>
        <w:tblW w:w="0" w:type="auto"/>
        <w:tblLook w:val="04A0"/>
      </w:tblPr>
      <w:tblGrid>
        <w:gridCol w:w="8156"/>
        <w:gridCol w:w="1415"/>
      </w:tblGrid>
      <w:tr w:rsidR="002E7E2C" w:rsidTr="002E7E2C">
        <w:tc>
          <w:tcPr>
            <w:tcW w:w="8156" w:type="dxa"/>
            <w:hideMark/>
          </w:tcPr>
          <w:p w:rsidR="002E7E2C" w:rsidRDefault="002E7E2C">
            <w:pPr>
              <w:tabs>
                <w:tab w:val="left" w:pos="1209"/>
              </w:tabs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ab/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ab/>
              <w:t xml:space="preserve">       Содержание</w:t>
            </w:r>
          </w:p>
        </w:tc>
        <w:tc>
          <w:tcPr>
            <w:tcW w:w="1415" w:type="dxa"/>
            <w:hideMark/>
          </w:tcPr>
          <w:p w:rsidR="002E7E2C" w:rsidRDefault="002E7E2C">
            <w:pPr>
              <w:tabs>
                <w:tab w:val="left" w:pos="1209"/>
              </w:tabs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Стр.</w:t>
            </w:r>
          </w:p>
        </w:tc>
      </w:tr>
      <w:tr w:rsidR="002E7E2C" w:rsidTr="002E7E2C">
        <w:tc>
          <w:tcPr>
            <w:tcW w:w="8156" w:type="dxa"/>
            <w:hideMark/>
          </w:tcPr>
          <w:p w:rsidR="002E7E2C" w:rsidRDefault="002E7E2C">
            <w:pPr>
              <w:tabs>
                <w:tab w:val="left" w:pos="1209"/>
              </w:tabs>
              <w:ind w:left="57" w:firstLine="57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Среднесрочный план социально-экономического развития  поселения на 2022год и плановый период 2023 – 2025 гг.</w:t>
            </w: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  <w:hideMark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1. Пояснительная записка к прогнозу социально – экономического развития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Карганского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Каргатского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 на 2023 год и плановый период 2024-2025г.</w:t>
            </w:r>
          </w:p>
        </w:tc>
        <w:tc>
          <w:tcPr>
            <w:tcW w:w="1415" w:type="dxa"/>
            <w:hideMark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3-4</w:t>
            </w:r>
          </w:p>
        </w:tc>
      </w:tr>
      <w:tr w:rsidR="002E7E2C" w:rsidTr="002E7E2C">
        <w:tc>
          <w:tcPr>
            <w:tcW w:w="8156" w:type="dxa"/>
            <w:hideMark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2. Оценка социально – экономического развития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Карганского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сельсовета за 2022год</w:t>
            </w:r>
          </w:p>
        </w:tc>
        <w:tc>
          <w:tcPr>
            <w:tcW w:w="1415" w:type="dxa"/>
            <w:hideMark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5-10</w:t>
            </w:r>
          </w:p>
        </w:tc>
      </w:tr>
      <w:tr w:rsidR="002E7E2C" w:rsidTr="002E7E2C">
        <w:tc>
          <w:tcPr>
            <w:tcW w:w="8156" w:type="dxa"/>
            <w:hideMark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3. Основные проблемы социально – экономического развития территории 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Карганского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Каргатского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1415" w:type="dxa"/>
            <w:hideMark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10-13</w:t>
            </w:r>
          </w:p>
        </w:tc>
      </w:tr>
      <w:tr w:rsidR="002E7E2C" w:rsidTr="002E7E2C">
        <w:tc>
          <w:tcPr>
            <w:tcW w:w="8156" w:type="dxa"/>
            <w:hideMark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4. Цели и задачи социально  - экономического развития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Карганского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Каргатского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 на 2023год и плановый период 2024-2025гг.</w:t>
            </w:r>
          </w:p>
        </w:tc>
        <w:tc>
          <w:tcPr>
            <w:tcW w:w="1415" w:type="dxa"/>
            <w:hideMark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13 - 18</w:t>
            </w:r>
          </w:p>
        </w:tc>
      </w:tr>
      <w:tr w:rsidR="002E7E2C" w:rsidTr="002E7E2C">
        <w:tc>
          <w:tcPr>
            <w:tcW w:w="8156" w:type="dxa"/>
            <w:hideMark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5. Среднесрочные целевые программы, в которых планирует участвовать администрация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Карганского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сельсовета  </w:t>
            </w:r>
          </w:p>
        </w:tc>
        <w:tc>
          <w:tcPr>
            <w:tcW w:w="1415" w:type="dxa"/>
            <w:hideMark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18-19</w:t>
            </w:r>
          </w:p>
        </w:tc>
      </w:tr>
      <w:tr w:rsidR="002E7E2C" w:rsidTr="002E7E2C">
        <w:tc>
          <w:tcPr>
            <w:tcW w:w="8156" w:type="dxa"/>
            <w:hideMark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6.  Оценка эффективности мероприятий плана социально – экономического развития территории</w:t>
            </w:r>
          </w:p>
        </w:tc>
        <w:tc>
          <w:tcPr>
            <w:tcW w:w="1415" w:type="dxa"/>
            <w:hideMark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2E7E2C" w:rsidTr="002E7E2C">
        <w:tc>
          <w:tcPr>
            <w:tcW w:w="8156" w:type="dxa"/>
            <w:hideMark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7. Заключение </w:t>
            </w:r>
          </w:p>
        </w:tc>
        <w:tc>
          <w:tcPr>
            <w:tcW w:w="1415" w:type="dxa"/>
            <w:hideMark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 – 21</w:t>
            </w: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ind w:left="798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8156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dxa"/>
          </w:tcPr>
          <w:p w:rsidR="002E7E2C" w:rsidRDefault="002E7E2C">
            <w:pPr>
              <w:tabs>
                <w:tab w:val="left" w:pos="1209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2E7E2C" w:rsidRDefault="002E7E2C" w:rsidP="002E7E2C">
      <w:pPr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ПОЯСНИТЕЛЬНАЯ ЗАПИСКА К ПРОГНОЗУ СОИАЛЬНО – ЭКОНОМИЧЕСКОГО РАЗВИТИЯ КАРГАНСКОГО СЕЛЬСОВЕТА КАРГАТСКОГО РАЙОНА НОВОСИБИРСКОЙ ОБЛАСТИ НА 2023ГОД И ПЛАНОВЫЙ ПЕРИОД 2024 – 2025 </w:t>
      </w:r>
      <w:proofErr w:type="gram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ГГ</w:t>
      </w:r>
      <w:proofErr w:type="gramEnd"/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План  развития 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отвечает потребностям проживающего на его территории населения, и объективно происходящих на его территории процессов. План  социально-экономического развития сельсовета содержит чёткое представление о стратегических целях, ресурсах, потенциале и об основных направлениях социально-экономического развития сельсовета на среднесрочную перспективу. Для обеспечения условий успешного выполнения мероприятий плана, были разработаны механизмы, способствующие эффективному протеканию процессов реализации плана. К числу таких механизмов относится совокупность необходимых нормативно-правовых актов, организационных, финансово-экономических, кадровых и других мероприятий, составляющих условия и предпосылки успешного выполнения мероприятий плана и достижения целей социально-экономического развития сельского поселения.</w:t>
      </w:r>
    </w:p>
    <w:p w:rsidR="002E7E2C" w:rsidRDefault="002E7E2C" w:rsidP="002E7E2C">
      <w:pPr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План социально-экономического развития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 является базовым документом, определяющим действия администрации муниципального образования при решении социально-экономических проблем на долгосрочную и  среднесрочную перспективу. </w:t>
      </w:r>
    </w:p>
    <w:p w:rsidR="002E7E2C" w:rsidRDefault="002E7E2C" w:rsidP="002E7E2C">
      <w:pPr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Основой плана социально-экономического развития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на 2023 -2025 годы является реализация закреплённых за органами местного самоуправления вопросов местного значения. План сформирован с учетом положений комплексной программы социально-экономического развития сельсовета на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2023-2025годы</w:t>
      </w:r>
    </w:p>
    <w:p w:rsidR="002E7E2C" w:rsidRDefault="002E7E2C" w:rsidP="002E7E2C">
      <w:pPr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>План основан на реалистичном анализе сформировавшихся условий и имеющихся ресурсов развития администрации. Содержательной основой документа являются данные, подготовленные специалистами администрации.</w:t>
      </w:r>
    </w:p>
    <w:p w:rsidR="002E7E2C" w:rsidRDefault="002E7E2C" w:rsidP="002E7E2C">
      <w:pPr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Реализация данного Плана содействует развитию инфраструктуры жизнеобеспечения муниципального образования увеличению доходной части бюджета, более эффективному использованию муниципального имущества и земель, повышению инвестиционной привлекательности поселения, повышению качества жизни населения.</w:t>
      </w:r>
    </w:p>
    <w:p w:rsidR="002E7E2C" w:rsidRDefault="002E7E2C" w:rsidP="002E7E2C">
      <w:pPr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Карганский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 расположен в 43 км на запад от г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.К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аргата и граничит  с северной стороны с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Мусинским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  сельсоветом.</w:t>
      </w:r>
    </w:p>
    <w:p w:rsidR="002E7E2C" w:rsidRDefault="002E7E2C" w:rsidP="002E7E2C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Карганский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 сельсовет образован  в 1965 году. Площадь территории МО всего составляет 65601 га, в том числе в ведении  в личных подсобных хозяйствах  - 352 га.</w:t>
      </w:r>
    </w:p>
    <w:p w:rsidR="002E7E2C" w:rsidRDefault="002E7E2C" w:rsidP="002E7E2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структуре земельного фонда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поселения земли сельскохозяйственного назначения  имеют площадь 43826га.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,з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емли населенных пунктов –352 га., земли промышленности, транспорта, связи – 1 га.,  земли водного фонда – 21564 га. </w:t>
      </w:r>
    </w:p>
    <w:p w:rsidR="002E7E2C" w:rsidRDefault="002E7E2C" w:rsidP="002E7E2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Территория поселения представляет собой пониженную, слегка волнистую равнину с заболоченными пространствами.</w:t>
      </w:r>
    </w:p>
    <w:p w:rsidR="002E7E2C" w:rsidRDefault="002E7E2C" w:rsidP="002E7E2C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Лесная растительность представляет собой смешанная в основном береза, имеются осина, сосна. </w:t>
      </w:r>
    </w:p>
    <w:p w:rsidR="002E7E2C" w:rsidRDefault="002E7E2C" w:rsidP="002E7E2C">
      <w:pPr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Климат  суровый с продолжительной зимой и  коротким летом, переходные периоды – весна и осень – короткие. Так же характерны поздние весенние и ранние осенние заморозки, резкие колебания температур от месяца к месяцу и в течение суток. Устойчивый снежный покров устанавливается уже в конце октября начале ноября.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Карганское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сельское поселение территориально располагается достаточно благоприятно:  находится на незначительном удалении от районного центра  и от железной дороги, благодаря чему, муниципальное образование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Карганское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сельское поселение располагает круглогодичным беспрепятственным сообщением с районным центром.</w:t>
      </w:r>
    </w:p>
    <w:p w:rsidR="002E7E2C" w:rsidRDefault="002E7E2C" w:rsidP="002E7E2C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В состав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входят пять населенных пунктов с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.К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арган,пос.Филино,д.Груздевка,пос.Лебедевский,пос.Третьяковский </w:t>
      </w:r>
    </w:p>
    <w:p w:rsidR="002E7E2C" w:rsidRDefault="002E7E2C" w:rsidP="002E7E2C">
      <w:pPr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color w:val="FF0000"/>
          <w:sz w:val="24"/>
          <w:szCs w:val="24"/>
          <w:lang w:eastAsia="ru-RU"/>
        </w:rPr>
      </w:pPr>
    </w:p>
    <w:p w:rsidR="002E7E2C" w:rsidRDefault="002E7E2C" w:rsidP="002E7E2C">
      <w:pPr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b/>
          <w:color w:val="FF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1.Оценка социально-экономического развития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сельсовета за 2022 год</w:t>
      </w:r>
    </w:p>
    <w:p w:rsidR="002E7E2C" w:rsidRDefault="002E7E2C" w:rsidP="002E7E2C">
      <w:pPr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1.1 Численность зарегистрированных 398 человек,  постоянно  проживающих  на 01.11.2022 года составляет 292 человек, из них: дети от рождения до 18 лет -34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человека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,с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туденов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7, в трудоспособном возрасте  113 человек из них заняты в экономике-60, пенсионеры 138 человек. Большая часть трудоспособного населения работает в бюджетных учреждениях и вахтовым методом (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г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. Новосибирске).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 Наблюдается устойчивое преобладание числа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умерших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над родившимися. В центре занятости населения состоит на учете 3 человека.</w:t>
      </w:r>
    </w:p>
    <w:p w:rsidR="002E7E2C" w:rsidRDefault="002E7E2C" w:rsidP="002E7E2C">
      <w:pPr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За 11 месяцев 2022года  на территорию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сельсовета  - прибыло  0          человек; выбыло -61  человек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., 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умерло 8 человек.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1.2. Сельское хозяйство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. </w:t>
      </w:r>
    </w:p>
    <w:p w:rsidR="002E7E2C" w:rsidRDefault="002E7E2C" w:rsidP="002E7E2C">
      <w:pPr>
        <w:jc w:val="both"/>
        <w:rPr>
          <w:rFonts w:ascii="Arial" w:eastAsia="Times New Roman" w:hAnsi="Arial" w:cs="Arial"/>
          <w:color w:val="FF0000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На территории поселения находится ЗАО «Московское» сельскохозяйственным производством не занимается.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Наличие животных на территории сельского поселения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92"/>
        <w:gridCol w:w="2393"/>
        <w:gridCol w:w="2393"/>
      </w:tblGrid>
      <w:tr w:rsidR="002E7E2C" w:rsidTr="002E7E2C"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Вид животных, гол.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2022 г.</w:t>
            </w:r>
          </w:p>
        </w:tc>
      </w:tr>
      <w:tr w:rsidR="002E7E2C" w:rsidTr="002E7E2C"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КРС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2E7E2C" w:rsidTr="002E7E2C"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коров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2E7E2C" w:rsidTr="002E7E2C"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молодняк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2E7E2C" w:rsidTr="002E7E2C"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Свиней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2E7E2C" w:rsidTr="002E7E2C"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 xml:space="preserve">Овец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60</w:t>
            </w:r>
          </w:p>
        </w:tc>
      </w:tr>
      <w:tr w:rsidR="002E7E2C" w:rsidTr="002E7E2C"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 xml:space="preserve">Лошадей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2E7E2C" w:rsidTr="002E7E2C"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 xml:space="preserve">Птицы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ru-RU"/>
              </w:rPr>
              <w:t>68</w:t>
            </w:r>
          </w:p>
        </w:tc>
      </w:tr>
    </w:tbl>
    <w:p w:rsidR="002E7E2C" w:rsidRDefault="002E7E2C" w:rsidP="002E7E2C">
      <w:pPr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1.3.Торговля и платные услуги: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По состоянию на 01.11.2022 года в поселении функционирует три торговые точки, один магазина частный (индивидуального предпринимателя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).,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два павильона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ип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1.4 Здравоохранение: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Медицинское обслуживание жителей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осуществляют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ФАПы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. Медработники получают все льготы предусмотренные Законодательством, повышают квалификацию, имеют категории. Осуществляется постоянное диспансерное наблюдение за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состоящими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на учёте по сахарному диабету, бронхиальной астме, онкологии. Наиболее интенсивный рост общей заболеваемости отмечается по болезням системы кровообращения, органов дыхания, пищеварения. В 2022году проведен косметический ремонт во всех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ФАПах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. Показатель первичной заболеваемости туберкулезом составляет 0,1% на одну тысячу населения. С целью выявления данного заболевания флюорографическим методом осмотрено 87 % населения старше 15 лет. Охват профилактическим осмотром составил 100 % от общего количества населения, подлежащему профессиональным осмотрам. Охват диспансерным наблюдением составил 100%. 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1.5. Образование: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. Действует 1 средняя общеобразовательная школа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с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.К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арган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 обучается 25 человек , в п.Филино  ООШ –обучается 5 человек. Дети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из.п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.Л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ебедевский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,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д.Груздевка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обучаются в этих школах.  Доставка детей производится школьным автобусом. Функционирует одно муниципальное бюджетное дошкольное образовательное учреждение в здании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Карганской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школы, который посещает 1 ребенок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 xml:space="preserve"> .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В реализации национального проекта «Образование» на территории поселения в школах укреплена материально-техническая база (компьютеризация классов), укреплен преподавательский </w:t>
      </w: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>состав квалифицированными педагогами (аттестация педагогов). Имеется доступ в Интернет. Организовано горячее питание для школьников. Кадровый состав в школах укомплектован полностью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 xml:space="preserve">.. 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В летний период в школах работала школьная площадка, было охвачено 28 детей. В летний период были задействованы на пришкольных участках с 5 по 8 классы учащихся, были проведены работы – копка огорода, посадка овощей и картофеля, полив, прополка, прореживание огорода и т.д. Осуществляется контроль по обязательному вовлечению  в образовательный процесс детей  школьного возраста, работа с неблагополучными семьями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 xml:space="preserve"> ,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безнадзорными детьми.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Организуется ремонт помещения школы. Осуществляется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контроль  за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  теплоснабжением (своевременный завоз угля), электроснабжением учреждений образования, своевременной уборки помещений и прилегающих территорий. С неблагополучными семьями ведётся постоянная профилактическая работа, социальной комиссией и ОКДН с участием участкового инспектора и специалистами по охране прав и детства: социальный – патронаж, рейды, наблюдения, беседы с родителями, предложения о необходимости лечения от алкогольной зависимости.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1.6. Культура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З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а последние годы в сфере культуры поселения удалось сохранить учреждение, поддержать на определенном уровне развитие художественного процесса. В поселении работает 1СДК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с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.К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арган,СК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в п.Филино, клуб п.Третьяковский. 2 общедоступных библиотеки.</w:t>
      </w:r>
    </w:p>
    <w:p w:rsidR="002E7E2C" w:rsidRDefault="002E7E2C" w:rsidP="002E7E2C">
      <w:pPr>
        <w:tabs>
          <w:tab w:val="left" w:pos="363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Культурная жизнь в поселении идёт  достаточно активно. Самодеятельные артисты принимают активное участие в районных  конкурсах,  становясь  призерами. Положительным моментом можно выделить тот факт, что в культурную жизнь села вовлечены различные категории населения: дети, работающее население, пенсионеры. </w:t>
      </w:r>
    </w:p>
    <w:p w:rsidR="002E7E2C" w:rsidRDefault="002E7E2C" w:rsidP="002E7E2C">
      <w:pPr>
        <w:tabs>
          <w:tab w:val="left" w:pos="363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В начале года проходят отчетные концерты, где отчитывается директор клуба.</w:t>
      </w:r>
    </w:p>
    <w:p w:rsidR="002E7E2C" w:rsidRDefault="002E7E2C" w:rsidP="002E7E2C">
      <w:pPr>
        <w:tabs>
          <w:tab w:val="left" w:pos="363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Остается на прежнем уровне количество читателей и планируется увеличение книговыдач в библиотеках, за счет поступления новых книг.</w:t>
      </w:r>
    </w:p>
    <w:p w:rsidR="002E7E2C" w:rsidRDefault="002E7E2C" w:rsidP="002E7E2C">
      <w:pPr>
        <w:tabs>
          <w:tab w:val="left" w:pos="363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Дом культуры предоставляет следующие виды услуг: Основные услуги: организация работы кружков, любительских объединений  для различных категорий населения; тематические концерты; театрализованные представления;  вечера отдыха; дискотеки и т.д.</w:t>
      </w:r>
    </w:p>
    <w:p w:rsidR="002E7E2C" w:rsidRDefault="002E7E2C" w:rsidP="002E7E2C">
      <w:pPr>
        <w:tabs>
          <w:tab w:val="left" w:pos="3630"/>
        </w:tabs>
        <w:spacing w:after="0" w:line="240" w:lineRule="auto"/>
        <w:rPr>
          <w:rFonts w:ascii="Arial" w:eastAsia="Times New Roman" w:hAnsi="Arial" w:cs="Arial"/>
          <w:bCs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Цель – сохранение и развитие культурного потенциала и единого культурного наследия.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Задачи:</w:t>
      </w:r>
    </w:p>
    <w:p w:rsidR="002E7E2C" w:rsidRDefault="002E7E2C" w:rsidP="002E7E2C">
      <w:pPr>
        <w:numPr>
          <w:ilvl w:val="0"/>
          <w:numId w:val="1"/>
        </w:numPr>
        <w:tabs>
          <w:tab w:val="num" w:pos="720"/>
        </w:tabs>
        <w:spacing w:after="0" w:line="240" w:lineRule="auto"/>
        <w:ind w:left="72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формирование и укрепление материальной базы СДК</w:t>
      </w:r>
    </w:p>
    <w:p w:rsidR="002E7E2C" w:rsidRDefault="002E7E2C" w:rsidP="002E7E2C">
      <w:pPr>
        <w:numPr>
          <w:ilvl w:val="0"/>
          <w:numId w:val="1"/>
        </w:numPr>
        <w:tabs>
          <w:tab w:val="num" w:pos="720"/>
        </w:tabs>
        <w:spacing w:after="0" w:line="240" w:lineRule="auto"/>
        <w:ind w:left="72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необходимо приобрести театральные  костюмы</w:t>
      </w:r>
    </w:p>
    <w:p w:rsidR="002E7E2C" w:rsidRDefault="002E7E2C" w:rsidP="002E7E2C">
      <w:pPr>
        <w:numPr>
          <w:ilvl w:val="0"/>
          <w:numId w:val="1"/>
        </w:numPr>
        <w:tabs>
          <w:tab w:val="num" w:pos="720"/>
        </w:tabs>
        <w:spacing w:after="0" w:line="240" w:lineRule="auto"/>
        <w:ind w:left="72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развитие самодеятельного творчества путем привлечения жителей МО к культурной деятельности</w:t>
      </w:r>
    </w:p>
    <w:p w:rsidR="002E7E2C" w:rsidRDefault="002E7E2C" w:rsidP="002E7E2C">
      <w:pPr>
        <w:numPr>
          <w:ilvl w:val="0"/>
          <w:numId w:val="1"/>
        </w:numPr>
        <w:tabs>
          <w:tab w:val="num" w:pos="720"/>
        </w:tabs>
        <w:spacing w:after="0" w:line="240" w:lineRule="auto"/>
        <w:ind w:left="72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воспитание и поддержка молодых дарований.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-     организация библиотечного обслуживания поселений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-    музыкальную аппаратуру</w:t>
      </w:r>
    </w:p>
    <w:p w:rsidR="002E7E2C" w:rsidRDefault="002E7E2C" w:rsidP="002E7E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1.7. Молодежная политика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. Совместно с МКОУ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Карганская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СОШ проведена весенняя неделя добра. Принимали участие в районных спортивных соревнованиях. Торжественное вручение паспортов. Уничтожали дикорастущую коноплю. Проведено 5 мероприятий, количество участников 6 человек.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1.8. Физкультура и спорт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. Администрация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оказывает помощь в развитии физической культуры и спорта на территории поселения. При школах работают спортивные залы. Летом работают летние спортивные </w:t>
      </w: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площадки. Команды принимают активное участие во всех спортивных мероприятиях, проводимых на районном уровне, для различных категорий населения. Соревнование по лыжам,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минифутболу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против детской наркомании», «Весёлые старты».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1.9.Связь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.Н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а территории МО работает одно отделение связи, которое обслуживает 4 села, п.Третьяковский обслуживает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Мусинское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почтовое отделение, почтальоны имеются в каждом селе. В отделении связи приобретен компьютер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п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роизведен косметический ремонт. Работает одна АТС с номерной емкостью 100 номеров. Очереди на постановку стационарного телефона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нет в основном пользуются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сотовой связью.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1.10.Жилищно-коммунальное хозяйство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В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поселении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в 2022 году жилищный фонд составил 17,7тыс. кв. метров общей площади. В среднем на одного жителя приходится 18 кв. метров площади. Уровень благоустройства жилищного фонда характеризуется следующими данными: общая площадь, оборудованная только водопроводом составляет 80 %,  Жилищно-коммунальными услугами занимается специализированное предприятие МУП « Коммунальный комплекс 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района»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района, которое обслуживает котельную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с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.К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арган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 и  сбор платежей за водоснабжение , с учетом льгот и субсидий.  Работают в котельной 4 человека. Протяженность тепловых сетей  0,27км. Объекты отопления: МКОУ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Карганская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СОШ, СДК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с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.К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арган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. На территории поселения водоснабжение осуществляется шесть водопроводящих сооружений, которые состоят на баланс МУП « Коммунальный комплекс 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района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 xml:space="preserve">».,  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Очистных сооружений нет. Протяженность водопровода составляет 15,8км, из них нуждается в замене 2,75 км.  Протяженность внутри поселковых дорог 17,3 км. Произведен ремонт в 2022 г.дороги  в с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.Ф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илино по ул.Центральной 500 м. В 2022году ямочный ремонт дорог проводился частично.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1.11.Социальная защита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. В поселении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работает 1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социальный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работника по обслуживании на дому(14 престарелых граждан). На учете в органах социальной защиты состоит 51семья, по категориям малоимущие-28,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пенсионеры 3;; инвалиды 2,дети инвалиды 1,ветераны 6-</w:t>
      </w:r>
      <w:r>
        <w:rPr>
          <w:rFonts w:ascii="Arial" w:eastAsia="Times New Roman" w:hAnsi="Arial" w:cs="Arial"/>
          <w:color w:val="FF0000"/>
          <w:sz w:val="24"/>
          <w:szCs w:val="24"/>
          <w:lang w:eastAsia="ru-RU"/>
        </w:rPr>
        <w:t xml:space="preserve">; </w:t>
      </w:r>
      <w:r>
        <w:rPr>
          <w:rFonts w:ascii="Arial" w:eastAsia="Times New Roman" w:hAnsi="Arial" w:cs="Arial"/>
          <w:sz w:val="24"/>
          <w:szCs w:val="24"/>
          <w:lang w:eastAsia="ru-RU"/>
        </w:rPr>
        <w:t>.   Бесплатным питанием в школах охвачены 11 детей.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1.12.Первичная ветеранская организация (Совет ветеранов)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На территории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активную работу ведёт Совет ветеранов. Ветераны проявляют большую активность на различных мероприятиях: субботниках, концертах, чествованиях, проводятся конкурсы, выставки.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1.13.БЮДЖЕТ КАРГАНСКОГО СЕЛЬСОВЕ</w:t>
      </w:r>
      <w:r>
        <w:rPr>
          <w:rFonts w:ascii="Arial" w:eastAsia="Times New Roman" w:hAnsi="Arial" w:cs="Arial"/>
          <w:sz w:val="24"/>
          <w:szCs w:val="24"/>
          <w:lang w:eastAsia="ru-RU"/>
        </w:rPr>
        <w:t>ТА:</w:t>
      </w:r>
    </w:p>
    <w:p w:rsidR="002E7E2C" w:rsidRDefault="002E7E2C" w:rsidP="002E7E2C">
      <w:pPr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Бюджет администрации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в 2022 году запланирован по доходам  с учетом изменений всего 12023,6тыс.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рублей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.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Собственных доходов запланировано- 1299,7 ,1329,9поступило  рублей, доля их в общем объёме доходов-10,8% Источники доходов запланировано: -налог на доходы физических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лиц – 310,5тысяч рублей; -земельный налог –28,6тысяч рублей; -налог на имущество физических лиц – 5,5  рубля; -;  </w:t>
      </w:r>
    </w:p>
    <w:p w:rsidR="002E7E2C" w:rsidRDefault="002E7E2C" w:rsidP="002E7E2C">
      <w:pPr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РАСХОДЫ БЮДЖЕТНЫХ СРЕДСТВ ЗА 2022 ГОД: Запланировано – 12288,2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тыс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руб.; исполнено – 9434,6 тыс. руб. Оплата услуг связи запланировано- 270,0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тыс.руб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,исполнено – 208,0руб; -содержание имущества всего запланировано- 413,7руб.исполнено- 766,2тыс.руб из них: на содержание  дорог 456,9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тыс.руб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).  На приобретение материальных запасо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в-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запланировано 803,0тыс,руб, израсходовано- 607,5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тыс.руб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из них на приобретение бензина -  349,6тыс.руб;  запланировано на пенсионное обеспечение-155,0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тыс.руб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,исполнено- 123,1тысруб.; 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1.14.РАБОТА С НЕДОИМЩИКАМИ И НЕПЛАТЕЛЬЩИКАМИ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: ИФНС №5 согласно соглашению предоставляет списки неплательщиков налогов, проводится информирование населения по своевременной оплате. Осуществлял свою работу Совет депутатов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сельсовета. За 2022год проведено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очередных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3 сессии,2 внеочередная.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2. Основные проблемы социально-экономического развития территории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сельсовета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района Новосибирской области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2.1.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Анализ сильных и слабых сторон поселения Анализ ситуации в муниципальном образовании сведен в таблицу и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выполнен в виде SWOT-анализа проанализированы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сильные и слабые стороны, возможности и угрозы.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Сильные и слабые стороны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6"/>
      </w:tblGrid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Сильные стороны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Слабые стороны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Экономически выгодное расположение – близость к районному центру (удаленность 43 км)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Сохранена социальная сфера - образовательные, 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медицинское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учреждения, дом культуры.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Неблагоприятная демографическая ситуация: высокий уровень естественной убыли, старение населения, отток молодёжи из села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Наличие земельных ресурсов для ведения сельскохозяйственного производства, личного подсобного хозяйства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Недостаточно развитая рыночная инфраструктура.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Благоприятная экологическая ситуация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Недостаточно рабочих мест, высокая безработица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Низкая доходная база бюджета поселения (малый % населения, 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имеющих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нормативные документы на свое имущество).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Низкая собираемость местных налогов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Отсутствие системы бытового обслуживания на территории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поселения;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Недостаточно развитая материальная база для развития физкультуры и спорта, слабое финансирование этой сферы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Недостаток доступного жилья.</w:t>
            </w:r>
          </w:p>
        </w:tc>
      </w:tr>
    </w:tbl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Возможности и угрозы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6"/>
      </w:tblGrid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Возможности 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Угрозы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Развитие крупного сельскохозяйственного бизнеса на территории сельсовета - внедрение в КФХ и ЛПХ прогрессивных технологий в зерновом, молочном, мясном, производствах, тиражирование передового опыта на примере хозяйств района, и области; - развитие более тесных партнерских отношений с другими муниципальными образованиями, предприятиями переработки</w:t>
            </w:r>
            <w:proofErr w:type="gramEnd"/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Диспаритет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цен на сельхоз продукцию. (Непомерный рост стоимости энергоносителей, запасных частей, удобрений, и новой сельскохозяйственной техники)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Развитие малого бизнеса на территории сельсовета: - развитие сферы услуг, в том числе ремонт и сервисное обслуживание автомобилей; - предоставление парикмахерских услуг, ремонт и пошив одежды, ремонт обуви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 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аспиловка и продажа пиломатериала, столярные услуги; - услуги печника, ремонт и монтаж местного отопления, услуги электрика;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Отсутствие мотивации к труду, рост безработицы, низкий уровень доходов населения, деградация, алкоголизм.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Развитие социальной инфраструктуры.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Снижение квалификации, старение и выбывание квалифицированных кадров. Демографические проблемы, связанные со старением населения и усиливающаяся финансовая нагрузка на экономически активное население.  Нехватка квалифицированной рабочей силы в поселении.  Высокая доля населения, не обладающего специальными востребованными на местном рынке труда навыками и умениями, низкая доля людей с высшим образованием и как следствие общий недостаток в квалифицированной рабочей силе;. Наличие незанятого экономически 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-а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ктивного населения трудоспособного возраста; Отток молодого экономически активного населения за пределы поселения,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района (выпускники школ)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Развитие личного подворья граждан, как источника доходов населения, и развития на этом фоне мини предприятий переработки по молочной и мясной продукции.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Повышение аварийности в </w:t>
            </w:r>
            <w:proofErr w:type="spellStart"/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жилищно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коммунальной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сфере поселения.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Развитие здорового образа жизни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Снижение налогового потенциала, недостаточная бюджетная обеспеченность 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из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слабой экономической базы поселения; Низкий удельный вес собственных доходных источников бюджета, зависимость от трансфертов из бюджетов других уровней.</w:t>
            </w:r>
          </w:p>
        </w:tc>
      </w:tr>
      <w:tr w:rsidR="002E7E2C" w:rsidTr="002E7E2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Активизация работы по реализации федеральных, областных, районных целевых программ;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Наличие административных барьеров вследствие несовершенства нормативно- правовой базы;</w:t>
            </w:r>
          </w:p>
        </w:tc>
      </w:tr>
    </w:tbl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Проведенный анализ показывает, что как сильные, так и слабые стороны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определяются его географическим (транспортным) положением. Территориальная близость к транспортной инфраструктуре является основным источником возможностей. Экономический потенциал муниципального образования значителен, но в настоящее время слабо задействован, особенно в части развития предпринимательства, переработки сельхоз продукции, развития услуг населению, развития личных подсобных хозяйств. Базовый ресурсный потенциал территории (природно-ресурсный, экономико-географический, демографический) не получает должного развития. В сельсовете присутствует тенденция старения и выбывания квалифицированных кадров, демографические проблемы, связанные со старением, слабой рождаемостью и оттоком населения за территорию поселения, усиливающаяся финансовая нагрузка на экономически активное население, нехватка квалифицированной рабочей силы, выбытие и не возврат молодежи после обучения в вузах. Старение объектов образования, культуры, спорта и их материальной базы, слабое обновление из-за отсутствия финансирования. Проанализировав вышеперечисленные отправные рубежи необходимо сделать вывод: 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Главной целью программы социально-экономического развития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сельсовета в 2022 году и последующие годы должно стать – повышение качества уровня жизни населения, его занятости и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самозанятости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экономических, социальных и культурных возможностей, предпринимательства, личных подсобных хозяйств, коммунальной инфраструктуры.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Уровень и качество жизни населения должны рассматриваются как степень удовлетворения материальных и духовных потребностей людей, достигаемых за счет создания экономических и материальных условий и возможностей, которые характеризуются соотношением уровня доходов и стоимости жизни. Из анализа вытекает, что  цели и задачи  развития поселения должны иметь следующие действия: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lastRenderedPageBreak/>
        <w:t xml:space="preserve">3. Цели и задачи   социально-экономического развития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сельсовета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района Новосибирской области на 2023 год и на период 2024 и 2025 годов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На основе проведенной оценки социально-экономического развития муниципального образования за период 2022 года, анализа основных проблем и с учетом резервов социально-экономического развития перед муниципальным образованием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на период 2024-2025 годов стоят следующие цели и задачи: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3.1.Социальные цели и задачи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Уровень жизни населения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Цель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– увеличение роста уровня жизни, доходов населения, развитие социальных услуг и обеспечение их доступности для жителей поселения. 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: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-с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оздание для жителей поселения условий для трудовой занятости и развития ЛПХ; -развитие социальной помощи пожилых граждан и инвалидов;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-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создание условий занятости населения, в том числе за счёт реализации программы развития личных подсобных хозяйств.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Содействие в привлечении молодых специалистов в поселение: - помощь членам их семей в устройстве на работу; - помощь в решении вопросов по приобретению этими специалистами жилья через районные, областные и федеральные программы, направленные на строительство приобретения жилья, помощь в получении кредитов, в том числе ипотечных на жильё; консультирование, помощь в получении субсидий, пособий различных льготных выплат;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- содействие в привлечении бюджетных средств, спонсорской помощи для поддержания одиноких пенсионеров, инвалидов, многодетных семей.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Для улучшения демографической ситуации требуется осуществлять мероприятия по повышению материального благосостояния и снижения уровня смертности населения. Создавать предпосылки для стабилизации и роста показателей рождаемости. Обеспечивать доступность и высокое качество социальных благ, прежде всего, медицинского обслуживания. Сохранять сеть учреждений социальной сферы, укреплять их материально- техническую базу.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3.2. Здоровье населения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Цель-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укрепление и сохранение здоровья населения, предупреждение преждевременной смертности и инвалидности за счёт повышения доступности и качества предоставляемых медицинских услуг.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- усиление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контроля за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организацией и качеством оказания медицинских услуг; - совершенствование системы профилактики, выявления и лечения заболеваний.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Образование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Цель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– обеспечение доступности получения качественного образования. </w:t>
      </w:r>
      <w:proofErr w:type="gram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- повышение качества образования, совершенствование воспитательных </w:t>
      </w: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процессов; - формирование эффективной системы профилактики безнадзорности, правонарушений, противодействия распространению алкоголизма, наркотических средств 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табакокурения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среди обучающихся; - воспитание патриотизма, гражданственности повышение нравственности подрастающего поколения; - организация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досуговой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 деятельности школьников. </w:t>
      </w:r>
      <w:proofErr w:type="gramEnd"/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3.3.Физическая культура и спорт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Цель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– повышение уровня здорового образа жизни населения, создание оптимальных условий для развития физической культуры и спорта.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Задачи: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- создание условий для развития физической культуры и спорта, включая развитие детского и юношеского спорта, внеурочных форм занятия физкультурой и спортом; - строительство детской спортивной площадки.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 xml:space="preserve"> .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>Культура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Цель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- сохранение и развитие культурного потенциала, создание оптимальных условий для обеспечения населения муниципального образования услугами организаций культуры.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</w:t>
      </w:r>
      <w:r>
        <w:rPr>
          <w:rFonts w:ascii="Arial" w:eastAsia="Times New Roman" w:hAnsi="Arial" w:cs="Arial"/>
          <w:sz w:val="24"/>
          <w:szCs w:val="24"/>
          <w:lang w:eastAsia="ru-RU"/>
        </w:rPr>
        <w:t>: - создание условий для организации досуга жителей поселения и обеспечение их услугами организаций культуры;- развитие библиотечного обслуживания населения; - организация и проведение массовых мероприятий, участие в районных конкурсах;-  укрепление материально-технической базы учреждений культуры; - развитие национальных культур; - комплектование книжного фонда библиотеки, организация подписки на периодические издания; - поддержка молодых дарований; - повышение квалификации специалистов отрасли культуры;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- участие в районных конкурсах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3.4.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>Молодёжная политика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Цель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- решение социально-экономических проблем молодёжи, формирование и укрепление правовых, экономических и организационных условий для гражданского становления и социальной самореализации молодёжи.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: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-п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овышение трудовой занятости молодежи, путем создания системы временного и постоянного трудоустройства; - повышение уровня жизни молодёжи путем вовлечения в процессы социально-значимой активности; - участие в мероприятиях проводимых отделом молодёжи для молодёжи сельских муниципальных образований района. Патриотическое воспитание молодежи, профилактика проявлений экстремизма, национализма, преступности в молодежной среде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3.5.Повышение использования потенциала сельскохозяйственного производства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Цель - создание условий для развития ЛПХ и крестьянского фермерского хозяйства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lastRenderedPageBreak/>
        <w:t>Задачи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: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-р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азвитие личных подсобных хозяйств за счет ; -поддержка личных подсобных хозяйств -  помощь в заполнении документов на приобретение молодняка КРС и птицы, организация  привоза кормов для приобретения в ЛПХ. 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3.6.Развитие жилищно-коммунального хозяйства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Цель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– улучшение качества жилищно-коммунальных услуг.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-о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рганизация предоставления субсидий гражданам поселения за оказанные жилищно-коммунальные услуги.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Протяженность внутри поселковых дорог 17,3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км,в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пос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.Ф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илино по ул.Центральной 1,0  км  требуется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капитальный ремонт,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грейдерование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в течении года всех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внутрипоселковых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дорогах.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Необходимо провести теплотрассу от котельной школы к зданию администрации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Каргаиского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сельсовета. 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3.7.. Обеспечение законности и порядка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Це</w:t>
      </w:r>
      <w:r>
        <w:rPr>
          <w:rFonts w:ascii="Arial" w:eastAsia="Times New Roman" w:hAnsi="Arial" w:cs="Arial"/>
          <w:sz w:val="24"/>
          <w:szCs w:val="24"/>
          <w:lang w:eastAsia="ru-RU"/>
        </w:rPr>
        <w:t>ль - повышение уровня безопасности населения, усиления защиты прав и законных интересов граждан, обеспечение правопорядка на территории муниципального образования.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-с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овершенствование форм и методов упреждающего противодействия террористической деятельности; Проведение целевых мероприятий по предупреждению и пресечению преступности среди несовершеннолетних, распространению наркомании и пьянства. Обучение населения правилам пожарной безопасности на собраниях граждан и создание добровольной пожарной дружины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3.8. В области муниципальных финансов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Цель </w:t>
      </w:r>
      <w:r>
        <w:rPr>
          <w:rFonts w:ascii="Arial" w:eastAsia="Times New Roman" w:hAnsi="Arial" w:cs="Arial"/>
          <w:sz w:val="24"/>
          <w:szCs w:val="24"/>
          <w:lang w:eastAsia="ru-RU"/>
        </w:rPr>
        <w:t>- обеспечение роста собственных доходов бюджета поселения, повышение эффективности бюджетных расходов.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- создание условий для повышения налогового потенциала территории; - разработка и осуществление комплекса мероприятий по увеличению собираемости налогов, поступающих в бюджет муниципального образования; - увеличение неналоговых доходов бюджета за счёт повышения эффективности использования муниципального имущества;- проведение мероприятий по выявлению незарегистрированных объектов недвижимости, принадлежащих физическим лицам, содействие их регистрации и уплате налога на имущество физических лиц;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- совершенствование среднесрочного финансового планирования; - проведение работы по оптимизации бюджетных расходов, в том числе по эффективному расходованию бюджетных средств, ориентация их на достижение конечных результатов; - сокращение расходов бюджета путем расширения возможностей использования муниципального заказа,   услуги </w:t>
      </w: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электрика.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поступлением доходов и расходов бюджетных средств, ежеквартальный отчет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3.9. Управление и использование муниципального имущества и земель. Цель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- повышение эффективности использования имущества и проведение мероприятий по определению и сохранению в составе муниципальной собственности имущества, необходимого для оказания социальных услуг, отнесенных к вопросам местного значения.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- проведение инвентаризации и паспортизации муниципального имущества с целью определения состава имущества, которое необходимо для реализации вопросов местного значения; - создать систему учета муниципального имущества (реестр); - проведение работ по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контролю за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изменением собственников жилья, выявление потенциальных бесхозяйных объектов с целью переведения в собственность с последующей реализацией; - регистрация право муниципальной собственности; - активизация работы по сбору арендной платы, погашению образовавшейся задолженности за использование земель.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3.10. Благоустройство и озеленение территории, охрана окружающей среды Цель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- создание комфортных условий для проживания жителям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:- достижение уровня благоустройства и озеленения сел МО в соответствии с установленными нормами; - проведение ремонта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внутрипоселковых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дорог; - устранение несанкционированных свалок; устранение дикорастущей травы - сокращение вредных выбросов в атмосферу; -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На территории поселения имеется 5 кладбищ, все кладбища оформлены  в собственность администрации.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Уборкой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которых занимаются администрация сельсовета и граждане поселения. На содержание кладбища требуется по расчетам около 10 тыс. рублей. Очистку территории поселения производят граждане. На территорию поселения приходит  раз в неделю машина для сбора ТКО.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3.11 Развития местного самоуправления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Цель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- повышение социальной и политической активности населения проживающего на территории 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Задачи: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- привлечение населения для участия в работе выборных органах местного самоуправления; - привлечение населения к подготовке муниципальных нормативных правовых актов в форме правотворческой инициативы граждан; - участие населения в проведении публичных слушаний, опросов, участие в осуществлении самоуправления через собрания граждан; - участие населения в благоустройстве населённых пунктов.</w:t>
      </w:r>
    </w:p>
    <w:p w:rsidR="002E7E2C" w:rsidRDefault="002E7E2C" w:rsidP="002E7E2C">
      <w:pPr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4.Среднесрочные целевые программы, в которых планирует участвовать администрация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Карганского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сельсовета </w:t>
      </w:r>
      <w:proofErr w:type="spell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Каргатского</w:t>
      </w:r>
      <w:proofErr w:type="spell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района Новосибирской области</w:t>
      </w:r>
    </w:p>
    <w:tbl>
      <w:tblPr>
        <w:tblW w:w="159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89"/>
        <w:gridCol w:w="3191"/>
        <w:gridCol w:w="3191"/>
        <w:gridCol w:w="3191"/>
        <w:gridCol w:w="3191"/>
      </w:tblGrid>
      <w:tr w:rsidR="002E7E2C" w:rsidTr="002E7E2C">
        <w:trPr>
          <w:gridAfter w:val="2"/>
          <w:wAfter w:w="6382" w:type="dxa"/>
          <w:trHeight w:val="2826"/>
        </w:trPr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lastRenderedPageBreak/>
              <w:t>Наименование программы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Мероприятия программы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Финансовая потребность</w:t>
            </w:r>
          </w:p>
        </w:tc>
      </w:tr>
      <w:tr w:rsidR="002E7E2C" w:rsidTr="002E7E2C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«Энергосбережение и повышение энергетической эффективности на территории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Карганского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Каргатского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 Новосибирской области»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104,0 т.р.</w:t>
            </w:r>
          </w:p>
        </w:tc>
        <w:tc>
          <w:tcPr>
            <w:tcW w:w="319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E2C" w:rsidRDefault="002E7E2C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E7E2C" w:rsidRDefault="002E7E2C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E7E2C" w:rsidTr="002E7E2C">
        <w:trPr>
          <w:gridAfter w:val="2"/>
          <w:wAfter w:w="6382" w:type="dxa"/>
        </w:trPr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«Развитие автомобильных 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дорогах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местного значения в 2023-2025годах»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Ремонт дорог  в  пос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.Ф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илино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1000000т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.р</w:t>
            </w:r>
            <w:proofErr w:type="gramEnd"/>
          </w:p>
        </w:tc>
      </w:tr>
      <w:tr w:rsidR="002E7E2C" w:rsidTr="002E7E2C">
        <w:trPr>
          <w:gridAfter w:val="2"/>
          <w:wAfter w:w="6382" w:type="dxa"/>
        </w:trPr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</w:tr>
      <w:tr w:rsidR="002E7E2C" w:rsidTr="002E7E2C">
        <w:trPr>
          <w:gridAfter w:val="2"/>
          <w:wAfter w:w="6382" w:type="dxa"/>
        </w:trPr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E2C" w:rsidRDefault="002E7E2C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</w:tr>
    </w:tbl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5.Оценка эффективности мероприятий плана социально- экономического развития территории.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Анализ показывает, что при условии выполнения вышеназванных мероприятий с 2022 года и последующие годы 2023 – 2024 гг. муниципальное образование может выполнить поставленные задачи за счет активизации предпринимательской деятельности, обеспечения благоприятных условий для создания малых рентабельных предприятий, а также организации предприятий по переработке сельскохозяйственной продукции. Соответственно, увеличатся объёмы налоговых поступлений в местный бюджет. При выполнении программных мероприятий ожидается рост не только сельскохозяйственного производства, но и рост объёмов производства сельскохозяйственной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продукции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как в сельскохозяйственных предприятиях так и в личных подсобных хозяйствах граждан. Оценка социально-экономического развития территории сельсовета ежегодно рассматривается на заседании сельского совета народных депутатов, вносятся корректировки и уточнения программы по мерам, задачам, целям, проектам и мероприятиям.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6.Заключение </w:t>
      </w:r>
    </w:p>
    <w:p w:rsidR="002E7E2C" w:rsidRDefault="002E7E2C" w:rsidP="002E7E2C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Экономика сельсовета находится в настоящее время в состоянии «ожидания преобразований», связанных с необходимостью реализации закона от 06.10.2003 г. № 131-ФЗ «Об общих принципах организации местного самоуправления в Российской Федерации», и с разработкой стратегической программы социально-экономического развития поселения. Положительным можно считать то, что к настоящему времени пришло осознание и предпринимателями, и муниципальными служащими того факта, что экономика поселения не может </w:t>
      </w: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>успешно функционировать, если она прямо или косвенно не направлена на удовлетворение потребностей и интересов людей. Для управленцев муниципального уровня стало очевидным, что социальная стабильность и экономический рост в сельском поселении в настоящее время могут быть обеспечены только с помощью продуманной целенаправленной социально-экономической политики. И такая политика может быть разработана и реализована через план социально- экономического развития поселения. Разработка и принятие среднесрочной программы развития сельского поселения позволяет закрепить приоритеты социальной, финансовой, инвестиционной, экономической политики, определить последовательность и сроки решения накопившихся за многие годы проблем. А целевые установки плана и создаваемые для её реализации механизмы, закрепляющие «правила игры» на территории сельсовета, позволят значительно повысить деловую активность управленческих и предпринимательских кадров, создать необходимые условия для активизации экономической и хозяйственной деятельности на территории.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Глава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Карганского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                                 </w:t>
      </w:r>
    </w:p>
    <w:p w:rsidR="002E7E2C" w:rsidRDefault="002E7E2C" w:rsidP="002E7E2C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Каргатского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области/                      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А.В.Трипузов</w:t>
      </w:r>
      <w:proofErr w:type="spellEnd"/>
    </w:p>
    <w:p w:rsidR="002E7E2C" w:rsidRDefault="002E7E2C" w:rsidP="002E7E2C">
      <w:pPr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Орехова</w:t>
      </w:r>
    </w:p>
    <w:p w:rsidR="002E7E2C" w:rsidRDefault="002E7E2C" w:rsidP="002E7E2C">
      <w:pPr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8 (383) 65 46-384</w:t>
      </w: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Прогноз социально-экономического развития </w:t>
      </w:r>
      <w:proofErr w:type="spellStart"/>
      <w:r>
        <w:rPr>
          <w:rFonts w:ascii="Arial" w:hAnsi="Arial" w:cs="Arial"/>
          <w:sz w:val="24"/>
          <w:szCs w:val="24"/>
        </w:rPr>
        <w:t>Карганского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>
        <w:rPr>
          <w:rFonts w:ascii="Arial" w:hAnsi="Arial" w:cs="Arial"/>
          <w:sz w:val="24"/>
          <w:szCs w:val="24"/>
        </w:rPr>
        <w:t>Каргатского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 на 2023 год и плановый период 2024 и 2025 годов</w:t>
      </w: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1841"/>
        <w:gridCol w:w="1068"/>
        <w:gridCol w:w="753"/>
        <w:gridCol w:w="1136"/>
        <w:gridCol w:w="753"/>
        <w:gridCol w:w="216"/>
        <w:gridCol w:w="711"/>
        <w:gridCol w:w="790"/>
        <w:gridCol w:w="790"/>
        <w:gridCol w:w="790"/>
        <w:gridCol w:w="790"/>
      </w:tblGrid>
      <w:tr w:rsidR="002E7E2C" w:rsidTr="002E7E2C">
        <w:trPr>
          <w:trHeight w:val="190"/>
        </w:trPr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Еденица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измерение</w:t>
            </w:r>
          </w:p>
        </w:tc>
        <w:tc>
          <w:tcPr>
            <w:tcW w:w="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Отчет</w:t>
            </w:r>
          </w:p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2022</w:t>
            </w:r>
          </w:p>
        </w:tc>
        <w:tc>
          <w:tcPr>
            <w:tcW w:w="1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2022(ожидание значения)</w:t>
            </w:r>
          </w:p>
        </w:tc>
        <w:tc>
          <w:tcPr>
            <w:tcW w:w="45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Прогноз, годы</w:t>
            </w:r>
          </w:p>
        </w:tc>
      </w:tr>
      <w:tr w:rsidR="002E7E2C" w:rsidTr="002E7E2C">
        <w:trPr>
          <w:trHeight w:val="2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E2C" w:rsidRDefault="002E7E2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E2C" w:rsidRDefault="002E7E2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E2C" w:rsidRDefault="002E7E2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E2C" w:rsidRDefault="002E7E2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E2C" w:rsidRDefault="002E7E2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1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</w:tr>
      <w:tr w:rsidR="002E7E2C" w:rsidTr="002E7E2C">
        <w:trPr>
          <w:trHeight w:val="29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E2C" w:rsidRDefault="002E7E2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E2C" w:rsidRDefault="002E7E2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E2C" w:rsidRDefault="002E7E2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E2C" w:rsidRDefault="002E7E2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E2C" w:rsidRDefault="002E7E2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Вариант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1</w:t>
            </w:r>
            <w:proofErr w:type="gramEnd"/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Вариант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2</w:t>
            </w:r>
            <w:proofErr w:type="gramEnd"/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Вариант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1</w:t>
            </w:r>
            <w:proofErr w:type="gramEnd"/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Вариант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2</w:t>
            </w:r>
            <w:proofErr w:type="gramEnd"/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Вариант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1</w:t>
            </w:r>
            <w:proofErr w:type="gramEnd"/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Вариант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2</w:t>
            </w:r>
            <w:proofErr w:type="gramEnd"/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Индекс промышленного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производства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lastRenderedPageBreak/>
              <w:t>В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%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к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предыдущему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году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2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Индекс производства продукции сельского хозяйства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%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к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Индекс объема работ, выполненных по виду деятельности «строительство»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%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к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Ввод в действие жилых домов за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счетвсех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источников финансирования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Тыс.кв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Индекс объема розничной торговли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%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к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9,0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9,0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9,5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11,0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11,5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12,5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Индекс объема платных услуг населению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%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к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Инвестиции в основной капитал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Млд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.р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уб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0,000015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0,000040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0,000040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0,000041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0,000050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0,000050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0,000050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0,000045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Индекс инвестиций в основной капитал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Тыс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.р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Инвестиции в основной капитал в расчет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надушу населения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lastRenderedPageBreak/>
              <w:t>Тыс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.р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О,07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0,02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0,06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0,06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0,07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0,07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0,07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0,07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10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Численность постоянного населени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я(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среднегодовая)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Тыс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.ч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ел.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0,668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0,707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0,705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0,700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0,700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0,668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0,668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0,668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Общий коэффициент рождаемости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Человек на 1000 человек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0,011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0,007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0,006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0,009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0,003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Коэффициент естественного прироста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Человек на 1000 населения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-0,009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-0,001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0,001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-0,002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-0,001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Коэффициент миграционного прироста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Человек на 10000 населения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-0,013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-0,001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- 0,002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-0,001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0,001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-0,012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-0,001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0,002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Численность занятых в экономик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е(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среднегодовая)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Млд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.р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0,142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0,140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0,140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0,139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0,140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0,141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0,142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0,142</w:t>
            </w: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Фонд заработанной платы работников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Млрд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.р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уб.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Нет данных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E7E2C" w:rsidTr="002E7E2C"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Среднемесячная номинально начисленная заработанная плата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рублей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9500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9500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10000</w:t>
            </w: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11000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11000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E2C" w:rsidRDefault="002E7E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11000</w:t>
            </w:r>
          </w:p>
        </w:tc>
      </w:tr>
    </w:tbl>
    <w:p w:rsidR="002E7E2C" w:rsidRDefault="002E7E2C" w:rsidP="002E7E2C">
      <w:pPr>
        <w:jc w:val="center"/>
        <w:rPr>
          <w:rFonts w:ascii="Arial" w:hAnsi="Arial" w:cs="Arial"/>
          <w:sz w:val="24"/>
          <w:szCs w:val="24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E7E2C" w:rsidRDefault="002E7E2C" w:rsidP="002E7E2C">
      <w:pPr>
        <w:rPr>
          <w:rFonts w:ascii="Arial" w:hAnsi="Arial" w:cs="Arial"/>
          <w:sz w:val="24"/>
          <w:szCs w:val="24"/>
        </w:rPr>
      </w:pPr>
    </w:p>
    <w:p w:rsidR="002E7E2C" w:rsidRDefault="002E7E2C" w:rsidP="002E7E2C">
      <w:pPr>
        <w:rPr>
          <w:rFonts w:ascii="Arial" w:hAnsi="Arial" w:cs="Arial"/>
          <w:sz w:val="24"/>
          <w:szCs w:val="24"/>
        </w:rPr>
      </w:pPr>
    </w:p>
    <w:p w:rsidR="00D92C54" w:rsidRDefault="00D92C54"/>
    <w:sectPr w:rsidR="00D92C54" w:rsidSect="00D92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24C42"/>
    <w:multiLevelType w:val="hybridMultilevel"/>
    <w:tmpl w:val="4BFC66C8"/>
    <w:lvl w:ilvl="0" w:tplc="3B801F32">
      <w:start w:val="5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7E2C"/>
    <w:rsid w:val="002E7E2C"/>
    <w:rsid w:val="00CA2D6F"/>
    <w:rsid w:val="00D92C54"/>
    <w:rsid w:val="00FB08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E2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2E7E2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495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CER\AppData\Local\Users\USR0615\Downloads\&#1087;&#1088;&#1086;&#1075;&#1085;&#1086;&#1079;%20&#1057;&#1069;&#1056;%202017%20(1).doc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?id=7163526&amp;sub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?id=12012604&amp;sub=173" TargetMode="External"/><Relationship Id="rId5" Type="http://schemas.openxmlformats.org/officeDocument/2006/relationships/hyperlink" Target="http://internet.garant.ru/document?id=47405120&amp;sub=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5548</Words>
  <Characters>31628</Characters>
  <Application>Microsoft Office Word</Application>
  <DocSecurity>0</DocSecurity>
  <Lines>263</Lines>
  <Paragraphs>74</Paragraphs>
  <ScaleCrop>false</ScaleCrop>
  <Company>Microsoft</Company>
  <LinksUpToDate>false</LinksUpToDate>
  <CharactersWithSpaces>37102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3</cp:revision>
  <dcterms:created xsi:type="dcterms:W3CDTF">2022-11-16T07:07:00Z</dcterms:created>
  <dcterms:modified xsi:type="dcterms:W3CDTF">2023-03-16T06:58:00Z</dcterms:modified>
</cp:coreProperties>
</file>